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kern w:val="0"/>
          <w:sz w:val="30"/>
          <w:szCs w:val="30"/>
          <w:bdr w:val="none" w:color="auto" w:sz="0" w:space="0"/>
          <w:lang w:val="en-US" w:eastAsia="zh-CN" w:bidi="ar"/>
        </w:rPr>
        <w:t>动画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999999" w:sz="6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t>发布人： 发布时间：2017-12-13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本专业同时招收文史类、理工类学生，授予艺术学学士学位。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[专业简介]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本专业包括动画艺术、游戏设计、媒体影像与影视艺术3个招考方向。面向和服务于新闻出版、动画及相关传媒领域，培养具有动画专业基础理论，掌握数字技术在动画、游戏、影像中的应用和技能，具备较强的动画、游戏、影像创作能力的应用型高级专门人才。面向传媒产业的动画、游戏、影视等领域，强调和新媒体的学科交叉。拥有国内一流的设备和师资，其中包括数字动画实验室、媒体动画实验室、水墨动画实验室、定格动画实验室、游戏研发实验室、运动捕捉实验室、虚拟动画实验室、影像编辑实验室、特效制作实验室、漫画创作实验室、录音棚、影棚等。拥有硕士招生点和多名硕士生导师，为学生进一步深造提供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了广阔的舞台。学生作品多次获得重大比赛奖项并受邀参加各类专业展览，在高校教育领域拥有广泛的影响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[培养目标]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本专业培养适应社会主义现代化建设需要，德、智、体、美全面发展，具备较强的专业创作能力和艺术创新精神，能在现代影视、现代传媒及动漫产业等领域从事动画、漫画、游戏的编创、教学及研究等方面工作的应用型高级专门人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[主要课程]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人体速写、动态速写、视觉表现软件基础、动画概论、动作设计、视听语言、动画造型设计、动画剧作、动画创作、游戏策划、游戏引擎应用、游戏创作等。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[就业去向]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毕业生能在动画、漫画、游戏等领域产业从事动画导演、动画编剧、动画制作、游戏设计、游戏研发等工作。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B8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2020-05-04T07:38:14Z</dcterms:created>
  <dc:creator>69231</dc:creator>
  <cp:lastModifiedBy>69231</cp:lastModifiedBy>
  <dcterms:modified xsi:type="dcterms:W3CDTF">2020-05-04T07:38:22Z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